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66" w:rsidRPr="009E6866" w:rsidRDefault="009E6866" w:rsidP="009E6866">
      <w:pPr>
        <w:autoSpaceDE w:val="0"/>
        <w:autoSpaceDN w:val="0"/>
        <w:spacing w:line="228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E6866">
        <w:rPr>
          <w:rFonts w:ascii="Times New Roman" w:hAnsi="Times New Roman" w:cs="Times New Roman"/>
          <w:b/>
          <w:bCs/>
          <w:sz w:val="24"/>
          <w:szCs w:val="24"/>
        </w:rPr>
        <w:t>АННОТАЦИЯ НА РАБОЧУЮ ПРОГРАММУ ПО ОБЩЕСТВОЗНАНИЮ</w:t>
      </w:r>
    </w:p>
    <w:p w:rsidR="009E6866" w:rsidRPr="0017162F" w:rsidRDefault="009E6866" w:rsidP="009E6866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программы воспитания (2020 г.).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E6866" w:rsidRPr="0017162F" w:rsidRDefault="009E6866" w:rsidP="009E6866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17162F">
        <w:rPr>
          <w:rFonts w:ascii="Times New Roman" w:hAnsi="Times New Roman" w:cs="Times New Roman"/>
          <w:sz w:val="20"/>
          <w:szCs w:val="20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17162F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17162F">
        <w:rPr>
          <w:rFonts w:ascii="Times New Roman" w:hAnsi="Times New Roman" w:cs="Times New Roman"/>
          <w:sz w:val="20"/>
          <w:szCs w:val="20"/>
        </w:rPr>
        <w:t xml:space="preserve"> умений извлекать необходимые сведения, осмысливать, преобразовывать и применять их.</w:t>
      </w:r>
    </w:p>
    <w:p w:rsidR="009E6866" w:rsidRPr="0017162F" w:rsidRDefault="009E6866" w:rsidP="009E6866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E6866" w:rsidRPr="0017162F" w:rsidRDefault="009E6866" w:rsidP="009E6866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«ОБЩЕСТВОЗНАНИЕ»</w:t>
      </w:r>
    </w:p>
    <w:p w:rsidR="009E6866" w:rsidRPr="0017162F" w:rsidRDefault="009E6866" w:rsidP="009E6866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Целями обществоведческого образования в основной школе являются: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17162F">
        <w:rPr>
          <w:rFonts w:ascii="Times New Roman" w:hAnsi="Times New Roman" w:cs="Times New Roman"/>
          <w:sz w:val="20"/>
          <w:szCs w:val="20"/>
        </w:rPr>
        <w:softHyphen/>
        <w:t>самосознания, приверженности базовым ценностям нашего народа;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E6866" w:rsidRPr="0017162F" w:rsidRDefault="009E6866" w:rsidP="009E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E6866" w:rsidRPr="0017162F" w:rsidRDefault="009E6866" w:rsidP="009E686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i/>
          <w:sz w:val="20"/>
          <w:szCs w:val="20"/>
        </w:rPr>
      </w:pPr>
      <w:r w:rsidRPr="0017162F">
        <w:rPr>
          <w:rFonts w:ascii="Times New Roman" w:hAnsi="Times New Roman" w:cs="Times New Roman"/>
          <w:b/>
          <w:i/>
          <w:sz w:val="20"/>
          <w:szCs w:val="20"/>
        </w:rPr>
        <w:t>Реализация программы воспитания на уроках истории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lastRenderedPageBreak/>
        <w:t>Реализация воспитательного потенциала урока предусматривает: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просвещения, подбора соответствующего тематического содержания, текстов для чтения, задач для решения, проблемных ситуаций для обсуждений;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ориентация на целевые ориентиры результатов воспитания и их учёт в формулировках воспитательных задач уроков, занятий, освоения учебной тематики, их реализацию в обучении;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использование цифровых ресурсов Всероссийского проекта «Открытые уроки» ФГБНУ «Институт изучения детства, семьи и воспитания Российской академии образования», проекта «Единый урок» и др.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9E6866" w:rsidRPr="0017162F" w:rsidRDefault="009E6866" w:rsidP="009E6866">
      <w:pPr>
        <w:pStyle w:val="a3"/>
        <w:spacing w:after="24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формирование и развитие модели наставничества "Ученик-ученик" через организацию вожатской работы, шефства старших над младшими, в том числе и в процессе обучения;</w:t>
      </w:r>
    </w:p>
    <w:p w:rsidR="009E6866" w:rsidRPr="0017162F" w:rsidRDefault="009E6866" w:rsidP="009E6866">
      <w:pPr>
        <w:pStyle w:val="a3"/>
        <w:spacing w:before="0" w:beforeAutospacing="0" w:after="240" w:afterAutospacing="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− инициирование и поддержку исследовательской деятельности обучающихся в форме индивидуальных и групповых проектов, проведение лицейских фестивалей проектов, учет проектной деятельности при оценке внеурочной деятельности учащихся.</w:t>
      </w:r>
    </w:p>
    <w:p w:rsidR="009E6866" w:rsidRPr="0017162F" w:rsidRDefault="009E6866" w:rsidP="009E6866">
      <w:pPr>
        <w:pStyle w:val="a3"/>
        <w:spacing w:before="0" w:beforeAutospacing="0" w:after="240" w:afterAutospacing="0"/>
        <w:jc w:val="both"/>
        <w:rPr>
          <w:b/>
          <w:i/>
          <w:color w:val="010101"/>
          <w:sz w:val="20"/>
          <w:szCs w:val="20"/>
        </w:rPr>
      </w:pPr>
      <w:r w:rsidRPr="0017162F">
        <w:rPr>
          <w:b/>
          <w:i/>
          <w:color w:val="010101"/>
          <w:sz w:val="20"/>
          <w:szCs w:val="20"/>
        </w:rPr>
        <w:t>Формирование функциональной грамотности на уроках обществознания:</w:t>
      </w:r>
    </w:p>
    <w:p w:rsidR="009E6866" w:rsidRPr="0017162F" w:rsidRDefault="009E6866" w:rsidP="009E6866">
      <w:pPr>
        <w:pStyle w:val="a3"/>
        <w:spacing w:before="0" w:beforeAutospacing="0" w:after="240" w:afterAutospacing="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•пересказы (мифов, биографий, рассказов и т.д.) - предоставление учащемуся возможности, монологически грамотно изъясняя свои мысли, «примерить на себя» те или иные исторические сюжеты и образы, что позволяет «очеловечить» события, расширить их воспитательный диапазон, создавая тем самым соответствующую эмоциональную среду для усвоения базовых ценностей;</w:t>
      </w:r>
    </w:p>
    <w:p w:rsidR="009E6866" w:rsidRPr="0017162F" w:rsidRDefault="009E6866" w:rsidP="009E6866">
      <w:pPr>
        <w:pStyle w:val="a3"/>
        <w:spacing w:before="0" w:beforeAutospacing="0" w:after="0" w:afterAutospacing="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•познавательные игры, викторины, уроки-дебаты,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9E6866" w:rsidRPr="0017162F" w:rsidRDefault="009E6866" w:rsidP="009E6866">
      <w:pPr>
        <w:pStyle w:val="a3"/>
        <w:spacing w:before="0" w:beforeAutospacing="0" w:after="240" w:afterAutospacing="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•исторические диктанты и эссе с их последующей коррекцией со стороны учителя, что формирует письменную грамотность учащихся;</w:t>
      </w:r>
    </w:p>
    <w:p w:rsidR="009E6866" w:rsidRPr="0017162F" w:rsidRDefault="009E6866" w:rsidP="009E6866">
      <w:pPr>
        <w:pStyle w:val="a3"/>
        <w:spacing w:before="0" w:beforeAutospacing="0" w:after="240" w:afterAutospacing="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•изучение исторических и правовых документов,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9E6866" w:rsidRPr="0017162F" w:rsidRDefault="009E6866" w:rsidP="009E6866">
      <w:pPr>
        <w:pStyle w:val="a3"/>
        <w:spacing w:before="0" w:beforeAutospacing="0" w:after="240" w:afterAutospacing="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t>•чтение вариативных источников, что позволяет учащимся отказаться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- входя в круг тех, кто эти роли оценивает.</w:t>
      </w:r>
    </w:p>
    <w:p w:rsidR="009E6866" w:rsidRPr="0017162F" w:rsidRDefault="009E6866" w:rsidP="009E6866">
      <w:pPr>
        <w:pStyle w:val="a3"/>
        <w:spacing w:before="0" w:beforeAutospacing="0" w:after="240" w:afterAutospacing="0"/>
        <w:jc w:val="both"/>
        <w:rPr>
          <w:i/>
          <w:color w:val="010101"/>
          <w:sz w:val="20"/>
          <w:szCs w:val="20"/>
        </w:rPr>
      </w:pPr>
      <w:r w:rsidRPr="0017162F">
        <w:rPr>
          <w:i/>
          <w:color w:val="010101"/>
          <w:sz w:val="20"/>
          <w:szCs w:val="20"/>
        </w:rPr>
        <w:lastRenderedPageBreak/>
        <w:t>•исследовательские работы в форме презентаций, рефератов, социологических опросов, проектов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раз убеждаясь в том, какими нравственными качествами должен обладать человек, чтобы его имя не забывали).</w:t>
      </w:r>
    </w:p>
    <w:p w:rsidR="009E6866" w:rsidRPr="0017162F" w:rsidRDefault="009E6866" w:rsidP="009E6866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«ОБЩЕСТВОЗНАНИЕ» В УЧЕБНОМ ПЛАНЕ</w:t>
      </w:r>
    </w:p>
    <w:p w:rsidR="009E6866" w:rsidRPr="0017162F" w:rsidRDefault="009E6866" w:rsidP="009E6866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17162F">
        <w:rPr>
          <w:rFonts w:ascii="Times New Roman" w:hAnsi="Times New Roman" w:cs="Times New Roman"/>
          <w:sz w:val="20"/>
          <w:szCs w:val="20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24797" w:rsidRDefault="00224797"/>
    <w:sectPr w:rsidR="00224797" w:rsidSect="002B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6868"/>
    <w:multiLevelType w:val="multilevel"/>
    <w:tmpl w:val="4D16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66"/>
    <w:rsid w:val="00224797"/>
    <w:rsid w:val="002B269C"/>
    <w:rsid w:val="009028B5"/>
    <w:rsid w:val="009E6866"/>
    <w:rsid w:val="00C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F818E-7CDE-49B4-B9E6-7F066DC6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E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9E68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4939-ABD0-4362-9218-DAC8228B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2023-03-30T06:15:00Z</dcterms:created>
  <dcterms:modified xsi:type="dcterms:W3CDTF">2023-03-30T06:15:00Z</dcterms:modified>
</cp:coreProperties>
</file>